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D2" w:rsidRDefault="009129D2" w:rsidP="009129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БЛОК ИНТЕГРАЛЬНЫХ ПОКАЗАТЕЛЕЙ </w:t>
      </w:r>
    </w:p>
    <w:p w:rsidR="009129D2" w:rsidRDefault="009129D2" w:rsidP="009129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Всероссийского конкурса «Семейная столица России» </w:t>
      </w:r>
    </w:p>
    <w:p w:rsidR="009129D2" w:rsidRDefault="009129D2" w:rsidP="009129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W w:w="1484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522"/>
        <w:gridCol w:w="2199"/>
        <w:gridCol w:w="1134"/>
      </w:tblGrid>
      <w:tr w:rsidR="009129D2" w:rsidTr="00FC7854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Показатели/критерии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Балл</w:t>
            </w: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развитой семейно ориентированной инфраструктуры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Обеспеченность социальной инфраструктурой: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доступность дошкольного образования для детей в возрасте: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2 мес. до 3 лет (100%);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0,5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от 1,5 года до 3 лет (100%);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3 до 8 лет (100%);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0,5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уровень обеспеченности населения спортивной инфраструктурой (не менее 70%);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уровень обеспеченности населения учреждениями культуры (не менее 90%)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Транспортная доступность базовых учреждений (медицинских, образовательных, спортивных, социальных, культурно-досуговых):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нормативная доступность медицинских, образовательных, спортивных, социальных, культурно-досуговых учреждений в соответствии с Социальным стандартом качества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утвержденным распоряжением Министерства транспорта Российской Федерации от 31 января 2017 г. № НА-19-р </w:t>
            </w:r>
            <w:r>
              <w:rPr>
                <w:rFonts w:ascii="Times New Roman" w:hAnsi="Times New Roman"/>
                <w:i/>
                <w:sz w:val="28"/>
              </w:rPr>
              <w:br/>
              <w:t>(с изменениями на 10 марта 2021 г.) (не менее 60%);</w:t>
            </w:r>
          </w:p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доля автобусов и троллейбусов, ежедневно выпускаемых муниципальными предприятиями, осуществляющими регулярные пассажирские перевозки по муниципальным маршрутам, доступных для пассажиров с детскими колясками </w:t>
            </w:r>
            <w:r>
              <w:rPr>
                <w:rFonts w:ascii="Times New Roman" w:hAnsi="Times New Roman"/>
                <w:i/>
                <w:sz w:val="28"/>
              </w:rPr>
              <w:br/>
              <w:t>(не менее 80%)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Семейно ориентированная жилая среда: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достижение положительной динамики ввода многоквартирных домов, оснащенных инфраструктурой для семей с детьми (текущий год к предыдущему) (колясочные, детские и физкультурно-оздоровительные площадки, лифты, широкие дверные проемы, поэтажная инфраструктура, двух- и трехкомнатные квартиры, благоустройство придомовой территории и т.д.)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Семейно ориентированная общественная среда: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pStyle w:val="a3"/>
              <w:numPr>
                <w:ilvl w:val="0"/>
                <w:numId w:val="1"/>
              </w:numPr>
              <w:spacing w:after="0"/>
              <w:ind w:left="62" w:firstLine="6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>увеличение количества общественных пространств (набережные, парки, скверы) и общественных мест, оснащенных инфраструктурой для детей (качели, детские уголки, игровые и спортивные зоны, комнаты матери и ребенка) (текущий год к предыдущему)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1"/>
              </w:numPr>
              <w:spacing w:after="0" w:line="240" w:lineRule="auto"/>
              <w:ind w:left="62" w:firstLine="6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 xml:space="preserve"> увеличение количества предприятий, организаций, учреждений, предоставляющих государственные и муниципальные услуги, оснащенных инфраструктурой для детей (качели, детские уголки, игровые и спортивные зоны, комнаты матери и ребенка)(да/нет);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1"/>
              </w:numPr>
              <w:spacing w:after="0" w:line="240" w:lineRule="auto"/>
              <w:ind w:left="61" w:firstLine="6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 xml:space="preserve"> увеличение количества организаций общественного питания, оборудованных для обслуживания семей с детьми (детские уголки, игровые и спортивные зоны, комнаты матери и ребенка, детские стульчики и пр.)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наличие предприятий, производящих продукцию питания для детей раннего возраста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Социальные сервисы для семей с детьми: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наличие пунктов проката предметов первой необходимости для новорожденных для студенческих, молодых семей, одиноких матерей, иных категорий нуждающихся семей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наличие пункта проката технических средств реабилитации для детей-инвалидов (инвалидных колясок; опор для стояния, сидения, лежания, ползания; приспособлений для ванной и туалета и др.)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Доступность образования для семей с детьми: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доля детей в возрасте от 5 до 18 лет, охваченных дополнительным образованием, от общего числа детей соответствующей возрастной группы (не менее 95%);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уровень охвата детей школьного возраста занятиями в группах продленного дня выше среднероссийского значения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наличие возможности перевода студентов образовательных организаций среднего профессионального образования и организаций высшего образования, имеющих детей, на очную форму обучения за счет бюджетов всех уровней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программ по улучшению жилищных условий семей с детьми и их социально-экономического положения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программ, реализуемых в городе в целях улучшения жилищных условий семей с детьми: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выплаты на погашение долга и процентов по ипотечному кредиту (ипотечному займу) (да/нет);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аренда с правом выкупа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выплата на уплату первоначального взноса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субсидии (социальные выплаты) на приобретение или строительство жилья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условий для увеличения суммы, направленной на погашение долга по ипотечному кредиту (ипотечному займу), с учетом количества рожденных детей: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при рождении первого или второго ребенка – не менее 10% кредита;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при рождении третьего ребенка – не менее 30% кредита;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rPr>
          <w:trHeight w:val="32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при рождении четвертого ребенка – полное погашение кредита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ежемесячной денежной компенсации расходов на оплату жилищно-коммунальных услуг для многодетных семей без оценки нуждаемости (не менее 30% расходов)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прогрессивной шкалы регионального материнского (семейного) капитала в зависимости от очередности рождений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направлений использования регионального материнского (семейного) капитала (более 5 направлений использования)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Система мер поддержки семьи, реализуемая в городе совместно с регионом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программ бесплатного школьного питания для детей из многодетных семей без учета критерия нуждаемости (с 5 по 11 класс)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меры социальной поддержки отдельным категориям граждан, имеющих детей в возрасте до трех лет, на приобретение специальных молочных продуктов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муниципальной единовременной материальной помощи, выплачиваемой в связи с рождением первого, второго, третьего, каждого последующего ребенка, двух и более детей одновременно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мер социальной поддержки в области физической культуры и спорта, культуры, дополнительного образования, установленных для многодетных семей (предоставление бесплатных услуг, система скидок и льгот и пр.)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Меры поддержки семей, направленные на вовлеченность семей с детьми в систему культурно-досуговых, просветительских, образовательных, спортивных и иных мероприятий семейной направленности: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уникальность мероприятий (использование нестандартных форматов, оригинальность локации, сохранение этнокультурных традиций и пр.)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масштабность мероприятий: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городские,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региональные,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всероссийские,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0,3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международные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0,4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Активность органов местного самоуправления и институтов гражданского общества по разработке и реализации инновационных подходов к решению вопросов семейной и демографической политики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грантовых средств, полученных на реализацию проектов по популяризации семейных ценностей и увеличению рождаемости, в общем объеме средств поддержанных проектов (не менее 30%)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координационных совещательных органов, деятельность которых направлена на поддержку семьи, деторождения и многодетности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условий для реализации потребностей в здоровом образе жизни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на базе организаций здравоохранения, направленных на сохранение и укрепление здоровья граждан: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Pr="005D5F10" w:rsidRDefault="009129D2" w:rsidP="00FC785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5D5F10">
              <w:rPr>
                <w:rFonts w:ascii="Times New Roman" w:hAnsi="Times New Roman"/>
                <w:i/>
                <w:sz w:val="28"/>
              </w:rPr>
              <w:t>обеспеченность медицинскими кадрами, оказывающими медицинскую помощь женщинам и детям (врачи-педиатры, врачи – акушеры-гинекологи, врачи-неонатологи, средний медицинский персонал), чел. на 10 000 тыс. населения соответствующего пола и возраста (не менее 20);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Pr="005D5F10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5D5F1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5D5F10">
              <w:rPr>
                <w:rFonts w:ascii="Times New Roman" w:hAnsi="Times New Roman"/>
                <w:i/>
                <w:sz w:val="28"/>
              </w:rPr>
              <w:t>наличие Центра (отделения) мужского репродуктивного здоровья / охраны здоровья семьи и репродукции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наличие Центра (отделения) охраны репродуктивного здоровья детей и подростков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медицинских организаций, предоставивших условия для прохождения диспансеризации и профилактических медицинских осмотров в вечернее время и выходные дни (не менее 80%);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детских поликлиник, обеспечивающих возможность внеочередного приема в выходной день в детских поликлиниках детей из многодетных семей (100%);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женских консультаций, обеспечивающих возможность внеочередного приема в женских консультациях в выходной день женщин в послеродовом периоде, женщин с детьми до года и многодетных матерей (100 %)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:rsidR="009129D2" w:rsidRPr="0092533D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2533D"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:rsidR="009129D2" w:rsidRPr="0092533D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33D">
              <w:rPr>
                <w:rFonts w:ascii="Times New Roman" w:hAnsi="Times New Roman"/>
                <w:sz w:val="28"/>
                <w:szCs w:val="28"/>
              </w:rPr>
              <w:t>Доступность повседневной физической активности и занятий физической культурой: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D2" w:rsidRPr="0092533D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D2" w:rsidRPr="0092533D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92533D">
              <w:rPr>
                <w:rFonts w:ascii="Times New Roman" w:hAnsi="Times New Roman"/>
                <w:i/>
                <w:sz w:val="28"/>
                <w:szCs w:val="28"/>
              </w:rPr>
              <w:t>доля граждан, систематически занимающихся физичес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кой культурой и спортом 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 xml:space="preserve">(не менее </w:t>
            </w:r>
            <w:r w:rsidRPr="00FD3310">
              <w:rPr>
                <w:rFonts w:ascii="Times New Roman" w:hAnsi="Times New Roman"/>
                <w:i/>
                <w:sz w:val="28"/>
                <w:szCs w:val="28"/>
              </w:rPr>
              <w:t>60%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rPr>
          <w:trHeight w:val="9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Реализация организациями различных форм собственности корпоративных демографических стандартов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предприятий/организаций, присоединившихся к реализации мер поддержки «Корпоративный демографический стандарт» и закрепивших данное решение в трехстороннем соглашении между Правительством субъекта, Федерацией профсоюзов субъекта и региональным отделением Союза работодателей </w:t>
            </w:r>
            <w:r>
              <w:rPr>
                <w:rFonts w:ascii="Times New Roman" w:hAnsi="Times New Roman"/>
                <w:sz w:val="28"/>
              </w:rPr>
              <w:br/>
              <w:t>(не менее 75%)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предприятий крупного и среднего бизнеса, организовавших зоны отдыха, оснащенные для родителей с детьми (комнаты матери и ребенка, игровые комнаты и др.) на территории / в помещениях предприятий (не менее 75%)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предприятий крупного и среднего бизнеса в создании семейно ориентированных благоустроенных городских общественных территорий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организаций крупного и среднего бизнеса, выплачивающих единовременную финансовую помощь при рождении третьих и последующих детей: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выплаты от 200 тыс. рублей до 300 тыс. рублей;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от 300 тыс. рублей до 500 тыс. рублей;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500 тыс. рублей до 800 тыс. рублей;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800 тыс. рублей до 1 млн. рублей;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 свыше 1 млн. рублей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Увеличение числа субъектов малого и среднего бизнеса, дружелюбных к семьям с детьми (скидки, льготные абонементы, обслуживание вне очереди, создание инфраструктуры для посещения с детьми), текущий год к предыдущему </w:t>
            </w:r>
            <w:r>
              <w:rPr>
                <w:rFonts w:ascii="Times New Roman" w:hAnsi="Times New Roman"/>
                <w:sz w:val="28"/>
              </w:rPr>
              <w:br/>
              <w:t>(не менее 10%)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Эффективная информационная политика для формирования положительного имиджа семьи и многодетности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фирменного стиля и семейноцентричного символа города (да/нет)</w:t>
            </w:r>
          </w:p>
          <w:p w:rsidR="009129D2" w:rsidRPr="004F7240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актуальной информации о программах поддержки семей, мероприятиях, направленных приобщение семьи к здоровому образу жизни: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на </w:t>
            </w:r>
            <w:hyperlink r:id="rId5" w:tooltip="https://internet.garant.ru/document/redirect/8916657/8" w:history="1">
              <w:r>
                <w:rPr>
                  <w:rFonts w:ascii="Times New Roman" w:hAnsi="Times New Roman"/>
                  <w:i/>
                  <w:sz w:val="28"/>
                </w:rPr>
                <w:t>официальном сайте</w:t>
              </w:r>
            </w:hyperlink>
            <w:r>
              <w:rPr>
                <w:rFonts w:ascii="Times New Roman" w:hAnsi="Times New Roman"/>
                <w:i/>
                <w:sz w:val="28"/>
              </w:rPr>
              <w:t xml:space="preserve"> города, городских СМИ, сайтах организаций и предприятий и др. (да/нет);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в общественных местах (территориях и помещениях образовательных организаций, учреждениях культуры, физической культуры и спорта; территориях и помещениях медицинских учреждений; общественном транспорте; гостиницах; магазинах и рынках; помещениях органов государственной власти и органов местного самоуправления; помещениях общего пользования многоквартирных домов; пляжах; зонах для отдыха, туризма, занятий спортом; АЗС и т.д.) (да/нет)</w:t>
            </w:r>
          </w:p>
          <w:p w:rsidR="009129D2" w:rsidRPr="002649BD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медиаконтента, направленного на формирование положительного имиджа семьи и многодетности (теле- и радиопередачи, фильмы, инфографика, анимация, флешмобы, марафоны, баннеры и др.) (не менее 15 форм)</w:t>
            </w:r>
          </w:p>
          <w:p w:rsidR="009129D2" w:rsidRPr="004F7240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наград многодетным семьям, учрежденных городом-</w:t>
            </w:r>
            <w:proofErr w:type="gramStart"/>
            <w:r>
              <w:rPr>
                <w:rFonts w:ascii="Times New Roman" w:hAnsi="Times New Roman"/>
                <w:sz w:val="28"/>
              </w:rPr>
              <w:t>участником  (</w:t>
            </w:r>
            <w:proofErr w:type="gramEnd"/>
            <w:r>
              <w:rPr>
                <w:rFonts w:ascii="Times New Roman" w:hAnsi="Times New Roman"/>
                <w:sz w:val="28"/>
              </w:rPr>
              <w:t>да/нет)</w:t>
            </w:r>
          </w:p>
          <w:p w:rsidR="009129D2" w:rsidRPr="004F7240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наград для предприятий, реализующих лучшие демографические практики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129D2" w:rsidTr="00FC785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7.6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образа многодетной семьи в оформлении общественных пространств в рекламе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9129D2" w:rsidRDefault="009129D2" w:rsidP="00FC7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B158A4" w:rsidRDefault="00B158A4">
      <w:bookmarkStart w:id="0" w:name="_GoBack"/>
      <w:bookmarkEnd w:id="0"/>
    </w:p>
    <w:sectPr w:rsidR="00B158A4" w:rsidSect="0091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8D5"/>
    <w:multiLevelType w:val="multilevel"/>
    <w:tmpl w:val="2072418E"/>
    <w:lvl w:ilvl="0">
      <w:start w:val="1"/>
      <w:numFmt w:val="bullet"/>
      <w:suff w:val="space"/>
      <w:lvlText w:val="–"/>
      <w:lvlJc w:val="left"/>
      <w:pPr>
        <w:ind w:left="1494" w:hanging="360"/>
      </w:pPr>
      <w:rPr>
        <w:rFonts w:ascii="Times New Roman" w:hAnsi="Times New Roman"/>
        <w:b w:val="0"/>
        <w:i w:val="0"/>
      </w:rPr>
    </w:lvl>
    <w:lvl w:ilvl="1">
      <w:start w:val="1"/>
      <w:numFmt w:val="bullet"/>
      <w:lvlText w:val="o"/>
      <w:lvlJc w:val="left"/>
      <w:pPr>
        <w:ind w:left="2422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3142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8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82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302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60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42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462" w:hanging="360"/>
      </w:pPr>
      <w:rPr>
        <w:rFonts w:ascii="Wingdings" w:hAnsi="Wingdings"/>
      </w:rPr>
    </w:lvl>
  </w:abstractNum>
  <w:abstractNum w:abstractNumId="1" w15:restartNumberingAfterBreak="0">
    <w:nsid w:val="1FB46CBF"/>
    <w:multiLevelType w:val="multilevel"/>
    <w:tmpl w:val="6E8A4324"/>
    <w:lvl w:ilvl="0">
      <w:start w:val="1"/>
      <w:numFmt w:val="bullet"/>
      <w:suff w:val="space"/>
      <w:lvlText w:val="–"/>
      <w:lvlJc w:val="left"/>
      <w:pPr>
        <w:ind w:left="160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3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60" w:hanging="360"/>
      </w:pPr>
      <w:rPr>
        <w:rFonts w:ascii="Wingdings" w:hAnsi="Wingdings"/>
      </w:rPr>
    </w:lvl>
  </w:abstractNum>
  <w:abstractNum w:abstractNumId="2" w15:restartNumberingAfterBreak="0">
    <w:nsid w:val="48AD57D3"/>
    <w:multiLevelType w:val="multilevel"/>
    <w:tmpl w:val="E672406E"/>
    <w:lvl w:ilvl="0">
      <w:start w:val="1"/>
      <w:numFmt w:val="bullet"/>
      <w:suff w:val="space"/>
      <w:lvlText w:val="–"/>
      <w:lvlJc w:val="left"/>
      <w:pPr>
        <w:ind w:left="220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3" w15:restartNumberingAfterBreak="0">
    <w:nsid w:val="4BEC6ECA"/>
    <w:multiLevelType w:val="multilevel"/>
    <w:tmpl w:val="38021D66"/>
    <w:lvl w:ilvl="0">
      <w:start w:val="1"/>
      <w:numFmt w:val="bullet"/>
      <w:suff w:val="space"/>
      <w:lvlText w:val="–"/>
      <w:lvlJc w:val="left"/>
      <w:pPr>
        <w:ind w:left="502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D2"/>
    <w:rsid w:val="000E4B0D"/>
    <w:rsid w:val="009129D2"/>
    <w:rsid w:val="00B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1A68"/>
  <w15:chartTrackingRefBased/>
  <w15:docId w15:val="{54788997-A6C5-4AD3-ABA0-78B14511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D2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9129D2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9129D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8916657/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Жадунова</dc:creator>
  <cp:keywords/>
  <dc:description/>
  <cp:lastModifiedBy>Жадунова</cp:lastModifiedBy>
  <cp:revision>2</cp:revision>
  <dcterms:created xsi:type="dcterms:W3CDTF">2026-05-05T13:49:00Z</dcterms:created>
  <dcterms:modified xsi:type="dcterms:W3CDTF">2026-05-05T13:52:00Z</dcterms:modified>
</cp:coreProperties>
</file>